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Gugatan Perwakilan Kelompok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wakil dan kelompok</w:t>
      </w:r>
    </w:p>
    <w:p>
      <w:pPr>
        <w:pStyle w:val="ListBullet"/>
      </w:pPr>
      <w:r>
        <w:t>definisi kelompok</w:t>
      </w:r>
    </w:p>
    <w:p>
      <w:pPr>
        <w:pStyle w:val="ListBullet"/>
      </w:pPr>
      <w:r>
        <w:t>kesamaan fakta/dasar hukum</w:t>
      </w:r>
    </w:p>
    <w:p>
      <w:pPr>
        <w:pStyle w:val="ListBullet"/>
      </w:pPr>
      <w:r>
        <w:t>kerugian</w:t>
      </w:r>
    </w:p>
    <w:p>
      <w:pPr>
        <w:pStyle w:val="ListBullet"/>
      </w:pPr>
      <w:r>
        <w:t>petitum</w:t>
      </w:r>
    </w:p>
    <w:p>
      <w:pPr>
        <w:pStyle w:val="ListBullet"/>
      </w:pPr>
      <w:r>
        <w:t>bukti.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