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Gugatan Rekonvensi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</w:t>
      </w:r>
    </w:p>
    <w:p>
      <w:pPr>
        <w:pStyle w:val="ListBullet"/>
      </w:pPr>
      <w:r>
        <w:t>identitas para pihak</w:t>
      </w:r>
    </w:p>
    <w:p>
      <w:pPr>
        <w:pStyle w:val="ListBullet"/>
      </w:pPr>
      <w:r>
        <w:t>uraian tuntutan balik</w:t>
      </w:r>
    </w:p>
    <w:p>
      <w:pPr>
        <w:pStyle w:val="ListBullet"/>
      </w:pPr>
      <w:r>
        <w:t>dasar hukum/fakta</w:t>
      </w:r>
    </w:p>
    <w:p>
      <w:pPr>
        <w:pStyle w:val="ListBullet"/>
      </w:pPr>
      <w:r>
        <w:t>petitum</w:t>
      </w:r>
    </w:p>
    <w:p>
      <w:pPr>
        <w:pStyle w:val="ListBullet"/>
      </w:pPr>
      <w:r>
        <w:t>bukti pendukung.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