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Jawaban atas Gugatan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tanggapan terhadap dalil gugatan</w:t>
      </w:r>
    </w:p>
    <w:p>
      <w:pPr>
        <w:pStyle w:val="ListBullet"/>
      </w:pPr>
      <w:r>
        <w:t>eksepsi bila ada</w:t>
      </w:r>
    </w:p>
    <w:p>
      <w:pPr>
        <w:pStyle w:val="ListBullet"/>
      </w:pPr>
      <w:r>
        <w:t>pokok perkara</w:t>
      </w:r>
    </w:p>
    <w:p>
      <w:pPr>
        <w:pStyle w:val="ListBullet"/>
      </w:pPr>
      <w:r>
        <w:t>petitum</w:t>
      </w:r>
    </w:p>
    <w:p>
      <w:pPr>
        <w:pStyle w:val="ListBullet"/>
      </w:pPr>
      <w:r>
        <w:t>bukti.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