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Kesepakatan Perdamaian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Identitas para pihak</w:t>
      </w:r>
    </w:p>
    <w:p>
      <w:pPr>
        <w:pStyle w:val="ListBullet"/>
      </w:pPr>
      <w:r>
        <w:t>uraian sengketa</w:t>
      </w:r>
    </w:p>
    <w:p>
      <w:pPr>
        <w:pStyle w:val="ListBullet"/>
      </w:pPr>
      <w:r>
        <w:t>kesepakatan yang disetujui</w:t>
      </w:r>
    </w:p>
    <w:p>
      <w:pPr>
        <w:pStyle w:val="ListBullet"/>
      </w:pPr>
      <w:r>
        <w:t>kewajiban masing-masing pihak</w:t>
      </w:r>
    </w:p>
    <w:p>
      <w:pPr>
        <w:pStyle w:val="ListBullet"/>
      </w:pPr>
      <w:r>
        <w:t>penyelesaian wanprestasi</w:t>
      </w:r>
    </w:p>
    <w:p>
      <w:pPr>
        <w:pStyle w:val="ListBullet"/>
      </w:pPr>
      <w:r>
        <w:t>tanda tangan.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