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Replik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tanggapan terhadap jawaban tergugat</w:t>
      </w:r>
    </w:p>
    <w:p>
      <w:pPr>
        <w:pStyle w:val="ListBullet"/>
      </w:pPr>
      <w:r>
        <w:t>penegasan dalil</w:t>
      </w:r>
    </w:p>
    <w:p>
      <w:pPr>
        <w:pStyle w:val="ListBullet"/>
      </w:pPr>
      <w:r>
        <w:t>petitum</w:t>
      </w:r>
    </w:p>
    <w:p>
      <w:pPr>
        <w:pStyle w:val="ListBullet"/>
      </w:pPr>
      <w:r>
        <w:t>bukti tambahan bila ada.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