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Surat Gugatan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para pihak</w:t>
      </w:r>
    </w:p>
    <w:p>
      <w:pPr>
        <w:pStyle w:val="ListBullet"/>
      </w:pPr>
      <w:r>
        <w:t>posita/kronologi</w:t>
      </w:r>
    </w:p>
    <w:p>
      <w:pPr>
        <w:pStyle w:val="ListBullet"/>
      </w:pPr>
      <w:r>
        <w:t>dasar hubungan hukum</w:t>
      </w:r>
    </w:p>
    <w:p>
      <w:pPr>
        <w:pStyle w:val="ListBullet"/>
      </w:pPr>
      <w:r>
        <w:t>petitum</w:t>
      </w:r>
    </w:p>
    <w:p>
      <w:pPr>
        <w:pStyle w:val="ListBullet"/>
      </w:pPr>
      <w:r>
        <w:t>bukti awal</w:t>
      </w:r>
    </w:p>
    <w:p>
      <w:pPr>
        <w:pStyle w:val="ListBullet"/>
      </w:pPr>
      <w:r>
        <w:t>alamat pihak.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